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Ind w:w="-1701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AB2B93" w:rsidRPr="005B3E49" w:rsidTr="00AB2B93">
        <w:tc>
          <w:tcPr>
            <w:tcW w:w="13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2B93" w:rsidRPr="00AB2B93" w:rsidRDefault="00AB2B93" w:rsidP="00AB2B93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2B93">
              <w:rPr>
                <w:rFonts w:ascii="Times New Roman" w:hAnsi="Times New Roman" w:cs="Times New Roman"/>
                <w:lang w:val="ru-RU"/>
              </w:rPr>
              <w:t>Государственное бюджетное общеобразовательное учреждение</w:t>
            </w:r>
          </w:p>
          <w:p w:rsidR="00AB2B93" w:rsidRPr="00AB2B93" w:rsidRDefault="00AB2B93" w:rsidP="00AB2B93">
            <w:pPr>
              <w:tabs>
                <w:tab w:val="center" w:pos="0"/>
                <w:tab w:val="right" w:pos="1282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2B93">
              <w:rPr>
                <w:rFonts w:ascii="Times New Roman" w:hAnsi="Times New Roman" w:cs="Times New Roman"/>
                <w:lang w:val="ru-RU"/>
              </w:rPr>
              <w:t xml:space="preserve"> начальная школа–детский сад № 662</w:t>
            </w:r>
          </w:p>
          <w:p w:rsidR="00AB2B93" w:rsidRPr="005B3E49" w:rsidRDefault="00AB2B93" w:rsidP="00AB2B93">
            <w:pPr>
              <w:tabs>
                <w:tab w:val="center" w:pos="0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B3E49">
              <w:rPr>
                <w:rFonts w:ascii="Times New Roman" w:hAnsi="Times New Roman" w:cs="Times New Roman"/>
              </w:rPr>
              <w:t>Кронштадтского района Санкт-Петербурга</w:t>
            </w:r>
          </w:p>
          <w:p w:rsidR="00AB2B93" w:rsidRPr="005B3E49" w:rsidRDefault="00AB2B93" w:rsidP="00AB2B93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AB2B93" w:rsidRPr="005B3E49" w:rsidRDefault="00AB2B93" w:rsidP="00AB2B93">
      <w:pPr>
        <w:spacing w:before="0" w:beforeAutospacing="0" w:after="0" w:afterAutospacing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884" w:type="dxa"/>
        <w:tblInd w:w="181" w:type="dxa"/>
        <w:tblLook w:val="04A0" w:firstRow="1" w:lastRow="0" w:firstColumn="1" w:lastColumn="0" w:noHBand="0" w:noVBand="1"/>
      </w:tblPr>
      <w:tblGrid>
        <w:gridCol w:w="5915"/>
        <w:gridCol w:w="3969"/>
      </w:tblGrid>
      <w:tr w:rsidR="00AB2B93" w:rsidRPr="00583203" w:rsidTr="00AB2B93">
        <w:tc>
          <w:tcPr>
            <w:tcW w:w="5915" w:type="dxa"/>
          </w:tcPr>
          <w:p w:rsidR="00583203" w:rsidRPr="00583203" w:rsidRDefault="00583203" w:rsidP="00583203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  <w:lang w:val="ru-RU" w:eastAsia="ru-RU"/>
              </w:rPr>
            </w:pPr>
            <w:r w:rsidRPr="00583203"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  <w:lang w:val="ru-RU" w:eastAsia="ru-RU"/>
              </w:rPr>
              <w:t>ПРИНЯТО</w:t>
            </w:r>
          </w:p>
          <w:p w:rsidR="00583203" w:rsidRPr="00583203" w:rsidRDefault="00583203" w:rsidP="00583203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</w:pPr>
            <w:r w:rsidRPr="0058320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  <w:t>Общим собранием работников ОУ № 662</w:t>
            </w:r>
          </w:p>
          <w:p w:rsidR="00583203" w:rsidRPr="00583203" w:rsidRDefault="00583203" w:rsidP="00583203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</w:pPr>
            <w:r w:rsidRPr="0058320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  <w:t xml:space="preserve"> 4</w:t>
            </w:r>
            <w:r w:rsidRPr="0058320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  <w:t>13.05.2022</w:t>
            </w:r>
            <w:r w:rsidRPr="0058320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  <w:t xml:space="preserve"> года</w:t>
            </w:r>
          </w:p>
          <w:p w:rsidR="00AB2B93" w:rsidRPr="00987708" w:rsidRDefault="00AB2B93" w:rsidP="0058320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444444"/>
                <w:lang w:val="ru-RU"/>
              </w:rPr>
            </w:pPr>
          </w:p>
        </w:tc>
        <w:tc>
          <w:tcPr>
            <w:tcW w:w="3969" w:type="dxa"/>
          </w:tcPr>
          <w:p w:rsidR="00AB2B93" w:rsidRPr="00AB2B93" w:rsidRDefault="00AB2B93" w:rsidP="0058320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B2B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УТВЕРЖДЕНО</w:t>
            </w:r>
          </w:p>
          <w:p w:rsidR="00AB2B93" w:rsidRPr="00AB2B93" w:rsidRDefault="00AB2B93" w:rsidP="0058320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2B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приказом директора ГБОУ НШ-ДС № 662  </w:t>
            </w:r>
          </w:p>
          <w:p w:rsidR="00AB2B93" w:rsidRPr="00987708" w:rsidRDefault="00AB2B93" w:rsidP="00583203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77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</w:t>
            </w:r>
            <w:r w:rsidRPr="009877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/д от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877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9877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9877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года</w:t>
            </w:r>
          </w:p>
          <w:p w:rsidR="00AB2B93" w:rsidRPr="00987708" w:rsidRDefault="00AB2B93" w:rsidP="00583203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444444"/>
                <w:lang w:val="ru-RU"/>
              </w:rPr>
            </w:pPr>
          </w:p>
        </w:tc>
      </w:tr>
      <w:tr w:rsidR="00AB2B93" w:rsidRPr="00987708" w:rsidTr="00AB2B93">
        <w:tc>
          <w:tcPr>
            <w:tcW w:w="5915" w:type="dxa"/>
          </w:tcPr>
          <w:p w:rsidR="00583203" w:rsidRPr="00AB2B93" w:rsidRDefault="00583203" w:rsidP="00583203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  <w:lang w:val="ru-RU" w:eastAsia="ru-RU"/>
              </w:rPr>
            </w:pPr>
            <w:r w:rsidRPr="00AB2B93"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18"/>
                <w:lang w:val="ru-RU" w:eastAsia="ru-RU"/>
              </w:rPr>
              <w:t>СОГЛАСОВАНО</w:t>
            </w:r>
          </w:p>
          <w:p w:rsidR="00583203" w:rsidRPr="00987708" w:rsidRDefault="00583203" w:rsidP="005832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AB2B9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val="ru-RU" w:eastAsia="ru-RU"/>
              </w:rPr>
              <w:t xml:space="preserve">с </w:t>
            </w:r>
            <w:r w:rsidRPr="009877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профсоюзным комитетом ГБОУ НШ-ДС № 662</w:t>
            </w:r>
          </w:p>
          <w:p w:rsidR="00583203" w:rsidRPr="00987708" w:rsidRDefault="00583203" w:rsidP="0058320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9877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протокол №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9877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>§2 от 19.08.2022 года</w:t>
            </w:r>
          </w:p>
          <w:p w:rsidR="00AB2B93" w:rsidRPr="00987708" w:rsidRDefault="00AB2B93" w:rsidP="0058320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444444"/>
                <w:lang w:val="ru-RU"/>
              </w:rPr>
            </w:pPr>
          </w:p>
        </w:tc>
        <w:tc>
          <w:tcPr>
            <w:tcW w:w="3969" w:type="dxa"/>
          </w:tcPr>
          <w:p w:rsidR="00AB2B93" w:rsidRPr="00987708" w:rsidRDefault="00AB2B93" w:rsidP="00583203">
            <w:p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444444"/>
                <w:lang w:val="ru-RU"/>
              </w:rPr>
            </w:pPr>
          </w:p>
        </w:tc>
      </w:tr>
    </w:tbl>
    <w:p w:rsidR="00AB2B93" w:rsidRPr="00987708" w:rsidRDefault="00AB2B93" w:rsidP="00583203">
      <w:pPr>
        <w:spacing w:before="0" w:beforeAutospacing="0" w:after="0" w:afterAutospacing="0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:rsidR="00AB2B93" w:rsidRPr="00987708" w:rsidRDefault="00AB2B93" w:rsidP="00AB2B93">
      <w:pPr>
        <w:spacing w:before="0" w:beforeAutospacing="0" w:after="0" w:afterAutospacing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</w:p>
    <w:p w:rsidR="00AB2B93" w:rsidRDefault="00467445" w:rsidP="00AB2B93">
      <w:pPr>
        <w:spacing w:before="0" w:beforeAutospacing="0" w:after="0" w:afterAutospacing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ПОЛИТИКА</w:t>
      </w:r>
    </w:p>
    <w:p w:rsidR="00467445" w:rsidRPr="00987708" w:rsidRDefault="00467445" w:rsidP="00AB2B93">
      <w:pPr>
        <w:spacing w:before="0" w:beforeAutospacing="0" w:after="0" w:afterAutospacing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В ОБЛАСТИ ОХРАНЫ ТРУДА</w:t>
      </w:r>
    </w:p>
    <w:p w:rsidR="00AB2B93" w:rsidRPr="00AB2B93" w:rsidRDefault="00AB2B93" w:rsidP="00AB2B93">
      <w:pPr>
        <w:spacing w:before="0" w:beforeAutospacing="0" w:after="0" w:afterAutospacing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2B9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 xml:space="preserve"> </w:t>
      </w:r>
      <w:r w:rsidRPr="00AB2B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ГБОУ НАЧАЛЬНАЯ ШКОЛА – ДЕТСКИЙ САД № 662 </w:t>
      </w:r>
    </w:p>
    <w:p w:rsidR="00AB2B93" w:rsidRPr="00501DDF" w:rsidRDefault="00AB2B93" w:rsidP="00AB2B93">
      <w:pPr>
        <w:spacing w:before="0" w:beforeAutospacing="0" w:after="0" w:afterAutospacing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1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КРОНШТАДТСКОГО РАЙОНА САНКТ-ПЕТЕРБУРГА</w:t>
      </w:r>
    </w:p>
    <w:p w:rsidR="00AB2B93" w:rsidRPr="00501DDF" w:rsidRDefault="00AB2B93" w:rsidP="00AB2B93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372EE" w:rsidRPr="00501DDF" w:rsidRDefault="005372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72EE" w:rsidRPr="00501DDF" w:rsidRDefault="005372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72EE" w:rsidRDefault="005372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03133" w:rsidRDefault="004031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2022 г.</w:t>
      </w:r>
    </w:p>
    <w:p w:rsidR="00467445" w:rsidRPr="00467445" w:rsidRDefault="00467445" w:rsidP="00467445">
      <w:pPr>
        <w:shd w:val="clear" w:color="auto" w:fill="FFFFFF"/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lastRenderedPageBreak/>
        <w:t>1 Общие положения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Политика </w:t>
      </w:r>
      <w:r w:rsidR="003B498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в области 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охран</w:t>
      </w:r>
      <w:r w:rsidR="003B498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ы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труда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Государственного бюджетного общеобразовательного учреждения начальная школа – детский сад № 662 Кронштадтского района Санкт-Петербурга (далее – Учреждение) отра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жает цели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учреждения 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 области охраны труда:</w:t>
      </w:r>
    </w:p>
    <w:p w:rsidR="00467445" w:rsidRPr="00467445" w:rsidRDefault="003B498E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 w:rsidR="00467445"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сохранение жизни и здоровья работников в проце</w:t>
      </w:r>
      <w:r w:rsid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ссе их трудовой деятельности по</w:t>
      </w:r>
      <w:r w:rsidR="00467445"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средством исключения и (или) минимизации профессиональных рисков в области охраны</w:t>
      </w:r>
      <w:r w:rsid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467445"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труда и управления указанными рисками (выявления опа</w:t>
      </w:r>
      <w:r w:rsid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сностей, оценки уровней и сниже</w:t>
      </w:r>
      <w:r w:rsidR="00467445"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ния уровней профессиональных рисков), с учетом потребн</w:t>
      </w:r>
      <w:r w:rsid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остей и ожиданий работников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образовательного учреждения</w:t>
      </w:r>
      <w:r w:rsidR="00467445"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, а также других заинтересованных сторон;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создание здоровых и безопасных условий тру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да, управление рисками производ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ственного травматизма и профессиональной заболеваемости;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активное взаимодействие с работниками комплек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са при разработке внутренней до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кументации, определяющей порядок внедрения и реализации системы охраны труда.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Соблюдение требований законодательства в области охраны труда является важной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неотъемлемой частью общей системы управления деятел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ьностью </w:t>
      </w:r>
      <w:r w:rsidR="00386A1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чреждения, залогом ста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бильности и улучшения экономического положения и благополучия всех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работников учреждения</w:t>
      </w:r>
      <w:r w:rsidR="00F43B2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в целом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</w:p>
    <w:p w:rsidR="00467445" w:rsidRPr="00467445" w:rsidRDefault="00467445" w:rsidP="00467445">
      <w:pPr>
        <w:shd w:val="clear" w:color="auto" w:fill="FFFFFF"/>
        <w:spacing w:before="240" w:beforeAutospacing="0" w:after="120" w:afterAutospacing="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2 Ключевые принципы и цели Политики в области охраны труда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Политика в области охраны труда включает в себя следующие ключевые принципы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цели, выполнение которых </w:t>
      </w:r>
      <w:r w:rsidR="003139D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чреждение принимает на себя: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1) обеспечение безопасности и охрану здоровья всех работников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учреждения путем пре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дупреждения несчастных случаев и профессиональных заболеваний на производстве;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2) соблюдение соответствующих национальных законов и иных нормативных правовых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актов, программ по охране труда, коллективных соглашений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по охране труда и других требо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ваний, которые организация обязалась выполнять;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3) обязательства по проведению консультаций с работни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ками и их представителями и при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влечению их к активному участию во всех элементах системы управления охраной труда;</w:t>
      </w:r>
    </w:p>
    <w:p w:rsid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4) непрерывное совершенствование функционирования системы управления охраной</w:t>
      </w:r>
      <w:r w:rsidR="00E9558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труда.</w:t>
      </w:r>
    </w:p>
    <w:p w:rsidR="00E95584" w:rsidRPr="00467445" w:rsidRDefault="00E95584" w:rsidP="00E95584">
      <w:pPr>
        <w:shd w:val="clear" w:color="auto" w:fill="FFFFFF"/>
        <w:spacing w:before="12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E9558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Наши цели: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обеспечение безопасности и здоровья </w:t>
      </w:r>
      <w:r w:rsidR="001A49D1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работников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в процессе трудовой деятельности;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0259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стремление к нулевому травматизму, исключение чрезвычайных, аварийных ситуаций;</w:t>
      </w:r>
    </w:p>
    <w:p w:rsidR="00467445" w:rsidRPr="00467445" w:rsidRDefault="00467445" w:rsidP="0046744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0259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предотвращение возникновения профессиональных заболеваний.</w:t>
      </w:r>
    </w:p>
    <w:p w:rsidR="00467445" w:rsidRPr="00467445" w:rsidRDefault="00467445" w:rsidP="00BB70E9">
      <w:pPr>
        <w:shd w:val="clear" w:color="auto" w:fill="FFFFFF"/>
        <w:spacing w:before="12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Для достижения указанных целей </w:t>
      </w:r>
      <w:r w:rsidR="00160259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учреждение</w:t>
      </w:r>
      <w:r w:rsidRPr="0046744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берет на себя следующие обязательства:</w:t>
      </w:r>
    </w:p>
    <w:p w:rsidR="00A12BB6" w:rsidRDefault="00467445" w:rsidP="00E9558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Соблюдать требования применимого к деятельност</w:t>
      </w:r>
      <w:r w:rsidR="00F43B2E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и </w:t>
      </w:r>
      <w:r w:rsidR="003139DE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учреждения</w:t>
      </w:r>
      <w:r w:rsidR="00F43B2E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международного, феде</w:t>
      </w: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рального и муниципального законодательства, а также и</w:t>
      </w:r>
      <w:r w:rsidR="00F43B2E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ные требования в области промыш</w:t>
      </w: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ленной безопасности, охраны труда и окружающей среды</w:t>
      </w:r>
      <w:r w:rsidR="00E95584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, которые </w:t>
      </w:r>
      <w:r w:rsidR="00302F38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учреждение</w:t>
      </w:r>
      <w:r w:rsidR="00E95584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обязуется выполнять.</w:t>
      </w:r>
    </w:p>
    <w:p w:rsidR="00A12BB6" w:rsidRPr="00A12BB6" w:rsidRDefault="00467445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Принимать меры по предотвращению производствен</w:t>
      </w:r>
      <w:r w:rsidR="00E95584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ного травматизма, профессиональ</w:t>
      </w: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ных заболеваний, снижению негативного воздействия на </w:t>
      </w:r>
      <w:r w:rsidR="00E95584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окружающую среду, а также сниже</w:t>
      </w: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нию риска пожароопасных и аварийных ситуаций, уменьшению масштабов возможных аварий</w:t>
      </w:r>
      <w:r w:rsidR="00E95584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E95584" w:rsidRPr="00A12BB6">
        <w:rPr>
          <w:rFonts w:eastAsia="Times New Roman" w:cstheme="minorHAnsi"/>
          <w:color w:val="1A1A1A"/>
          <w:sz w:val="23"/>
          <w:szCs w:val="23"/>
          <w:lang w:val="ru-RU" w:eastAsia="ru-RU"/>
        </w:rPr>
        <w:t xml:space="preserve">и </w:t>
      </w:r>
      <w:r w:rsidR="00E95584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пожаров, предотвращению их распространения за территорию производственных объектов</w:t>
      </w:r>
      <w:r w:rsid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учреждения</w:t>
      </w:r>
      <w:r w:rsidR="00E95584"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  <w:r w:rsidR="00A12BB6" w:rsidRPr="00A12BB6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 </w:t>
      </w:r>
    </w:p>
    <w:p w:rsidR="00A12BB6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Осуществлять рациональное природопользование, охрану и восстановление природных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ресурсов, реабилитацию территорий, загрязненных в резул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ьтате прошлой хозяйственной дея</w:t>
      </w: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тельности.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Проводить консультации с работниками по вопрос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ам обеспечения промышленной без</w:t>
      </w:r>
      <w:r w:rsidRPr="00A12BB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опасности, охраны труда и окружающей среды.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Постоянно улучшать систему управления и показа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тели в области промышленной без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опасности, охраны труда и окружающей среды.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Соблюдать законодательные и нормативные требования в области обеспечения охраны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 условий труда.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>Обеспечивать соответствие системы менеджмента охраны труда Межгосударственному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стандарту ГОСТ 12.0.230-2007 «Система стандартов безопасности труда. Системы управления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охраной труда. Общие требования».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Постоянно совершенствовать систему управления охраной труда.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Проводить оценку всех возможных рисков на рабочих местах сотрудников, учитывая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специфику и виды производства, характер риска, с целью выявления возможных и реальных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опасностей, а также обеспечивать управление рисками в с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оответствии с утвержденными про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цедурами на предприятии.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Организовывать работу по предупреждению травматизма, травмоопасных ситуаций,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ухудшения здоровья 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работников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Осуществлять разработку и реализацию планов мероприятий, целевых программ по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минимизации и возможному устранению рисков, угроз аварийности, чрезвычайных ситуаций,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травматизма и заболеваемости персонала, улучшению состояния здоровья 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работников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Проводить анализ результативности функционирования системы управления охраной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труда.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Обеспечивать здоровые и безопасные условия труда для 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работников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Обеспечивать доступность достоверной информации о состоянии условий и охраны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труда.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Повышать уровень ответственности и обеспечивать вовлеченность каждого работника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независимо от его профессии или должности в соблюдение обязанностей в области охраны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здоровья и безопасности труда.</w:t>
      </w:r>
    </w:p>
    <w:p w:rsid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Поддерживать на высоком уровне и постоянно улучшать подготовку 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работников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в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области обеспечения безопасности путем организации качественного обучения.</w:t>
      </w:r>
    </w:p>
    <w:p w:rsidR="00A12BB6" w:rsidRPr="00041BB7" w:rsidRDefault="00A12BB6" w:rsidP="00A12BB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Повышать уровень безопасности и условий труда за счет обеспечения безаварийной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работы оборудования, внедрения новых технологий и при</w:t>
      </w:r>
      <w:r w:rsid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менения современных средств кол</w:t>
      </w:r>
      <w:r w:rsidRPr="00041BB7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лективной и индивидуальной защиты.</w:t>
      </w:r>
    </w:p>
    <w:p w:rsidR="0053018B" w:rsidRPr="0053018B" w:rsidRDefault="0053018B" w:rsidP="0053018B">
      <w:pPr>
        <w:shd w:val="clear" w:color="auto" w:fill="FFFFFF"/>
        <w:spacing w:before="240" w:beforeAutospacing="0" w:after="120" w:afterAutospacing="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53018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3 Резюме</w:t>
      </w:r>
    </w:p>
    <w:p w:rsidR="0053018B" w:rsidRPr="0053018B" w:rsidRDefault="0053018B" w:rsidP="0053018B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Обеспечение сохранения жизни и здоровья работников, создание безопасных условий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труда, предупреждение травматизма, контроль за промышленными и чрезвычайными рисками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– неоспоримый приоритет у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чреждения.</w:t>
      </w:r>
    </w:p>
    <w:p w:rsidR="0053018B" w:rsidRPr="0053018B" w:rsidRDefault="0053018B" w:rsidP="0053018B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Политика в области охраны труда:</w:t>
      </w:r>
    </w:p>
    <w:p w:rsidR="0053018B" w:rsidRPr="0053018B" w:rsidRDefault="0053018B" w:rsidP="0053018B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соответствует специфике организации, ее размеру, характеру деятельности и масштабам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рисков, а также взаимос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вязана с хозяйственными целями у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чреждения;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предоставляется всем работникам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учреждения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и находится на каждом информационном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стенде для ознакомления;</w:t>
      </w:r>
    </w:p>
    <w:p w:rsidR="0053018B" w:rsidRDefault="0053018B" w:rsidP="0053018B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подлежит анализу для обеспечения постоянного соответствия изменяющимся условиям;</w:t>
      </w:r>
    </w:p>
    <w:p w:rsidR="0053018B" w:rsidRPr="0053018B" w:rsidRDefault="0053018B" w:rsidP="0053018B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доступна в установленном порядке для внешних заинтересованных организаций.</w:t>
      </w:r>
    </w:p>
    <w:p w:rsidR="0053018B" w:rsidRPr="0053018B" w:rsidRDefault="0053018B" w:rsidP="00357AB2">
      <w:pPr>
        <w:shd w:val="clear" w:color="auto" w:fill="FFFFFF"/>
        <w:spacing w:before="240" w:beforeAutospacing="0" w:after="120" w:afterAutospacing="0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53018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4 Участие работников и их представителей</w:t>
      </w:r>
    </w:p>
    <w:p w:rsidR="0053018B" w:rsidRPr="0053018B" w:rsidRDefault="0053018B" w:rsidP="00357AB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Участие работников являет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ся важнейшим элементом СУОТ. В у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чреждении практикуется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привлечение работников к консультациям, информированию и повышению их квалификации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по всем аспектам охраны труда, связанным с их работой, включая мероприятия в процессе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возможных аварий.</w:t>
      </w:r>
    </w:p>
    <w:p w:rsidR="0053018B" w:rsidRPr="0053018B" w:rsidRDefault="0053018B" w:rsidP="00357AB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Учреждение организовывает мероприятия для работников и их представителей по ОТ,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чтобы они имели время и возможность для активного участия в процессах планирования и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реализации, применения, оценки и действий по совершенствованию СУОТ.</w:t>
      </w:r>
    </w:p>
    <w:p w:rsidR="0053018B" w:rsidRPr="0053018B" w:rsidRDefault="0053018B" w:rsidP="00357AB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Учреждение обеспечивает создание, формирование и 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эффективное функционирование ко</w:t>
      </w:r>
      <w:r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миссии по охране труда в соответствии с законодательством Российской Федерации.</w:t>
      </w:r>
    </w:p>
    <w:p w:rsidR="0053018B" w:rsidRPr="0053018B" w:rsidRDefault="003B498E" w:rsidP="00357AB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 у</w:t>
      </w:r>
      <w:r w:rsidR="0053018B"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чреждении внедрен и постоянно совершенствуется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трехступенчатый контроль соблю</w:t>
      </w:r>
      <w:r w:rsidR="0053018B"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дения требований охраны труда: на уровне рабочего места, 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на уровне структурного подразде</w:t>
      </w:r>
      <w:r w:rsidR="0053018B"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ления, на уровне работодателя. Целью трехступенчатого к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онтроля является выполнение тре</w:t>
      </w:r>
      <w:r w:rsidR="0053018B"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бований законодательства Российской Федерации по контролю за условиями труда на рабочих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53018B"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местах согласно статье 214 ТК РФ, пункту 64 Примерного положения о СУОТ, утвержденного</w:t>
      </w:r>
      <w:r w:rsidR="00357AB2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="0053018B" w:rsidRPr="0053018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приказом Минтруда России от 29.10.2021 № 776н.</w:t>
      </w:r>
    </w:p>
    <w:p w:rsidR="00E95584" w:rsidRDefault="00E95584" w:rsidP="00357AB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E95584" w:rsidRPr="00467445" w:rsidRDefault="00E95584" w:rsidP="00E95584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467445" w:rsidRPr="00AB2B93" w:rsidRDefault="004674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67445" w:rsidRPr="00AB2B93" w:rsidSect="00AB2B93">
      <w:pgSz w:w="11907" w:h="1683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16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33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36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85AE9"/>
    <w:multiLevelType w:val="hybridMultilevel"/>
    <w:tmpl w:val="D2D6F5D0"/>
    <w:lvl w:ilvl="0" w:tplc="23641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2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67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27E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60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91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F5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D3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10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D0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C0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25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15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157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E2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24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02E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74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CC1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85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493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07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C4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46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23"/>
  </w:num>
  <w:num w:numId="11">
    <w:abstractNumId w:val="25"/>
  </w:num>
  <w:num w:numId="12">
    <w:abstractNumId w:val="2"/>
  </w:num>
  <w:num w:numId="13">
    <w:abstractNumId w:val="15"/>
  </w:num>
  <w:num w:numId="14">
    <w:abstractNumId w:val="14"/>
  </w:num>
  <w:num w:numId="15">
    <w:abstractNumId w:val="27"/>
  </w:num>
  <w:num w:numId="16">
    <w:abstractNumId w:val="19"/>
  </w:num>
  <w:num w:numId="17">
    <w:abstractNumId w:val="18"/>
  </w:num>
  <w:num w:numId="18">
    <w:abstractNumId w:val="8"/>
  </w:num>
  <w:num w:numId="19">
    <w:abstractNumId w:val="12"/>
  </w:num>
  <w:num w:numId="20">
    <w:abstractNumId w:val="24"/>
  </w:num>
  <w:num w:numId="21">
    <w:abstractNumId w:val="22"/>
  </w:num>
  <w:num w:numId="22">
    <w:abstractNumId w:val="21"/>
  </w:num>
  <w:num w:numId="23">
    <w:abstractNumId w:val="20"/>
  </w:num>
  <w:num w:numId="24">
    <w:abstractNumId w:val="16"/>
  </w:num>
  <w:num w:numId="25">
    <w:abstractNumId w:val="1"/>
  </w:num>
  <w:num w:numId="26">
    <w:abstractNumId w:val="7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331"/>
    <w:rsid w:val="00041BB7"/>
    <w:rsid w:val="00051EC4"/>
    <w:rsid w:val="000642E8"/>
    <w:rsid w:val="000D399A"/>
    <w:rsid w:val="00100AD8"/>
    <w:rsid w:val="00160259"/>
    <w:rsid w:val="001A1248"/>
    <w:rsid w:val="001A49D1"/>
    <w:rsid w:val="001D6A25"/>
    <w:rsid w:val="002A53FD"/>
    <w:rsid w:val="002A6648"/>
    <w:rsid w:val="002C1EF3"/>
    <w:rsid w:val="002D33B1"/>
    <w:rsid w:val="002D3591"/>
    <w:rsid w:val="002E4803"/>
    <w:rsid w:val="00302F38"/>
    <w:rsid w:val="0030390F"/>
    <w:rsid w:val="003139DE"/>
    <w:rsid w:val="003514A0"/>
    <w:rsid w:val="00357AB2"/>
    <w:rsid w:val="00386A15"/>
    <w:rsid w:val="003B30E5"/>
    <w:rsid w:val="003B498E"/>
    <w:rsid w:val="003C29B4"/>
    <w:rsid w:val="00403133"/>
    <w:rsid w:val="00417ECF"/>
    <w:rsid w:val="00467445"/>
    <w:rsid w:val="004E4A5B"/>
    <w:rsid w:val="004F7E17"/>
    <w:rsid w:val="00501DDF"/>
    <w:rsid w:val="0053018B"/>
    <w:rsid w:val="00530923"/>
    <w:rsid w:val="005372EE"/>
    <w:rsid w:val="00573F84"/>
    <w:rsid w:val="00583203"/>
    <w:rsid w:val="00586E96"/>
    <w:rsid w:val="005A05CE"/>
    <w:rsid w:val="005D01A6"/>
    <w:rsid w:val="005F0B93"/>
    <w:rsid w:val="005F1CEA"/>
    <w:rsid w:val="00616825"/>
    <w:rsid w:val="00633EB8"/>
    <w:rsid w:val="00653AF6"/>
    <w:rsid w:val="006F56CF"/>
    <w:rsid w:val="00753642"/>
    <w:rsid w:val="00793381"/>
    <w:rsid w:val="00797FC0"/>
    <w:rsid w:val="007C1A18"/>
    <w:rsid w:val="007E026A"/>
    <w:rsid w:val="0080478B"/>
    <w:rsid w:val="008C1BEB"/>
    <w:rsid w:val="009102ED"/>
    <w:rsid w:val="00987708"/>
    <w:rsid w:val="009904CC"/>
    <w:rsid w:val="009C51FF"/>
    <w:rsid w:val="00A12BB6"/>
    <w:rsid w:val="00A77806"/>
    <w:rsid w:val="00AA2992"/>
    <w:rsid w:val="00AA2EDA"/>
    <w:rsid w:val="00AB2B93"/>
    <w:rsid w:val="00AE04C6"/>
    <w:rsid w:val="00B73A5A"/>
    <w:rsid w:val="00B75D0E"/>
    <w:rsid w:val="00BA1409"/>
    <w:rsid w:val="00BB70E9"/>
    <w:rsid w:val="00C40A31"/>
    <w:rsid w:val="00CD2460"/>
    <w:rsid w:val="00D11470"/>
    <w:rsid w:val="00D119AA"/>
    <w:rsid w:val="00D35178"/>
    <w:rsid w:val="00D8590B"/>
    <w:rsid w:val="00E438A1"/>
    <w:rsid w:val="00E612DB"/>
    <w:rsid w:val="00E95584"/>
    <w:rsid w:val="00EA7175"/>
    <w:rsid w:val="00EC6D72"/>
    <w:rsid w:val="00ED23D3"/>
    <w:rsid w:val="00F01E19"/>
    <w:rsid w:val="00F21A05"/>
    <w:rsid w:val="00F43B2E"/>
    <w:rsid w:val="00F50498"/>
    <w:rsid w:val="00FC00D1"/>
    <w:rsid w:val="00FC4C1C"/>
    <w:rsid w:val="00FD0B88"/>
    <w:rsid w:val="00FD2FFD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E1A0"/>
  <w15:docId w15:val="{54A5F90E-39AF-488F-92BB-8FE3E55F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73</cp:revision>
  <dcterms:created xsi:type="dcterms:W3CDTF">2011-11-02T04:15:00Z</dcterms:created>
  <dcterms:modified xsi:type="dcterms:W3CDTF">2024-07-12T06:45:00Z</dcterms:modified>
</cp:coreProperties>
</file>